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31" w:rsidRPr="0075638D" w:rsidRDefault="00D57931" w:rsidP="00D57931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Opis poslova radnog mjesta te podaci o plaći</w:t>
      </w:r>
    </w:p>
    <w:p w:rsidR="00D57931" w:rsidRPr="0049375E" w:rsidRDefault="00D57931" w:rsidP="00D5793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Sukladno članku 19. Zakona o službenicima i namještenicima u lokalnoj i područnoj (regionalnoj) samoupravi («Narodne novine» broj 86/08, 61/11, 4/18, 112/19), </w:t>
      </w:r>
      <w:r w:rsidRPr="0075638D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pročelnica </w:t>
      </w: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Službe za javne financije </w:t>
      </w:r>
      <w:r w:rsidRPr="0075638D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Virovitičko-podravske županije raspisala je </w:t>
      </w: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>javni n</w:t>
      </w:r>
      <w:r w:rsidRPr="0075638D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atječaj </w:t>
      </w: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objavljen u „Narodnim novinama“ </w:t>
      </w:r>
      <w:r w:rsidRPr="00BD1550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broj </w:t>
      </w:r>
      <w:r w:rsidR="0049375E" w:rsidRPr="0049375E">
        <w:rPr>
          <w:rFonts w:ascii="Arial Narrow" w:eastAsia="Times New Roman" w:hAnsi="Arial Narrow" w:cs="Arial"/>
          <w:sz w:val="24"/>
          <w:szCs w:val="24"/>
          <w:lang w:eastAsia="hr-HR"/>
        </w:rPr>
        <w:t>118/20 od 28. listopada</w:t>
      </w:r>
      <w:r w:rsidRPr="0049375E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2020. godine</w:t>
      </w:r>
      <w:r w:rsidR="009D4183">
        <w:rPr>
          <w:rFonts w:ascii="Arial Narrow" w:eastAsia="Times New Roman" w:hAnsi="Arial Narrow" w:cs="Arial"/>
          <w:sz w:val="24"/>
          <w:szCs w:val="24"/>
          <w:lang w:eastAsia="hr-HR"/>
        </w:rPr>
        <w:t>.</w:t>
      </w:r>
      <w:r w:rsidRPr="0049375E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</w:p>
    <w:p w:rsidR="00D57931" w:rsidRPr="00D74314" w:rsidRDefault="00D57931" w:rsidP="00D579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D74314">
        <w:rPr>
          <w:rFonts w:ascii="Arial Narrow" w:eastAsia="Times New Roman" w:hAnsi="Arial Narrow" w:cs="Times New Roman"/>
          <w:sz w:val="24"/>
          <w:szCs w:val="24"/>
          <w:lang w:eastAsia="hr-HR"/>
        </w:rPr>
        <w:t>Vježbenik/</w:t>
      </w:r>
      <w:proofErr w:type="spellStart"/>
      <w:r w:rsidRPr="00D74314">
        <w:rPr>
          <w:rFonts w:ascii="Arial Narrow" w:eastAsia="Times New Roman" w:hAnsi="Arial Narrow" w:cs="Times New Roman"/>
          <w:sz w:val="24"/>
          <w:szCs w:val="24"/>
          <w:lang w:eastAsia="hr-HR"/>
        </w:rPr>
        <w:t>ica</w:t>
      </w:r>
      <w:proofErr w:type="spellEnd"/>
      <w:r w:rsidRPr="00D74314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radi osposobljavanja za obavljanje pos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lova višeg referenta (2.) </w:t>
      </w:r>
      <w:r w:rsidRPr="00D74314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za 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računovodstvo i financije</w:t>
      </w:r>
      <w:r w:rsidRPr="00D74314">
        <w:rPr>
          <w:rFonts w:ascii="Arial Narrow" w:eastAsia="Times New Roman" w:hAnsi="Arial Narrow" w:cs="Times New Roman"/>
          <w:sz w:val="24"/>
          <w:szCs w:val="24"/>
          <w:lang w:eastAsia="hr-HR"/>
        </w:rPr>
        <w:t>-  1 izvršitelj na određeno vrijeme u trajanju od 12 mjeseci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.</w:t>
      </w:r>
    </w:p>
    <w:p w:rsidR="00D57931" w:rsidRPr="0075638D" w:rsidRDefault="00D57931" w:rsidP="00D57931">
      <w:pPr>
        <w:pStyle w:val="StandardWeb"/>
        <w:shd w:val="clear" w:color="auto" w:fill="FDFDFD"/>
        <w:spacing w:before="150" w:beforeAutospacing="0" w:line="276" w:lineRule="auto"/>
        <w:rPr>
          <w:rFonts w:ascii="Arial Narrow" w:hAnsi="Arial Narrow" w:cs="Arial"/>
          <w:color w:val="231F20"/>
        </w:rPr>
      </w:pPr>
      <w:r w:rsidRPr="0075638D">
        <w:rPr>
          <w:rFonts w:ascii="Arial Narrow" w:hAnsi="Arial Narrow" w:cs="Arial"/>
          <w:color w:val="231F20"/>
        </w:rPr>
        <w:t xml:space="preserve">Tekst natječaja dostupan je na web stranici </w:t>
      </w:r>
      <w:r>
        <w:rPr>
          <w:rFonts w:ascii="Arial Narrow" w:hAnsi="Arial Narrow" w:cs="Arial"/>
          <w:color w:val="231F20"/>
        </w:rPr>
        <w:t>„</w:t>
      </w:r>
      <w:r w:rsidRPr="0075638D">
        <w:rPr>
          <w:rFonts w:ascii="Arial Narrow" w:hAnsi="Arial Narrow" w:cs="Arial"/>
          <w:color w:val="231F20"/>
        </w:rPr>
        <w:t>Narodnih novina</w:t>
      </w:r>
      <w:r>
        <w:rPr>
          <w:rFonts w:ascii="Arial Narrow" w:hAnsi="Arial Narrow" w:cs="Arial"/>
          <w:color w:val="231F20"/>
        </w:rPr>
        <w:t>“</w:t>
      </w:r>
      <w:r w:rsidRPr="0075638D">
        <w:rPr>
          <w:rFonts w:ascii="Arial Narrow" w:hAnsi="Arial Narrow" w:cs="Arial"/>
          <w:color w:val="231F20"/>
        </w:rPr>
        <w:t>.</w:t>
      </w:r>
    </w:p>
    <w:p w:rsidR="00D57931" w:rsidRPr="0075638D" w:rsidRDefault="00D57931" w:rsidP="00D57931">
      <w:pPr>
        <w:pStyle w:val="StandardWeb"/>
        <w:shd w:val="clear" w:color="auto" w:fill="FDFDFD"/>
        <w:spacing w:before="150" w:beforeAutospacing="0" w:line="276" w:lineRule="auto"/>
        <w:rPr>
          <w:rFonts w:ascii="Arial Narrow" w:hAnsi="Arial Narrow" w:cs="Arial"/>
          <w:color w:val="231F20"/>
        </w:rPr>
      </w:pPr>
      <w:r w:rsidRPr="0075638D">
        <w:rPr>
          <w:rFonts w:ascii="Arial Narrow" w:hAnsi="Arial Narrow" w:cs="Arial"/>
          <w:color w:val="231F20"/>
        </w:rPr>
        <w:t>Od dana objave natječaja u „Narodnim novinama“ počinje teći osmodnevni rok za podnošenje prijava na natječaj.</w:t>
      </w:r>
    </w:p>
    <w:p w:rsidR="00D57931" w:rsidRPr="00A22D8D" w:rsidRDefault="00D57931" w:rsidP="00D57931">
      <w:pPr>
        <w:pStyle w:val="StandardWeb"/>
        <w:shd w:val="clear" w:color="auto" w:fill="FDFDFD"/>
        <w:spacing w:before="150" w:beforeAutospacing="0" w:line="276" w:lineRule="auto"/>
        <w:rPr>
          <w:rFonts w:ascii="Arial Narrow" w:hAnsi="Arial Narrow" w:cs="Arial"/>
          <w:color w:val="FF0000"/>
        </w:rPr>
      </w:pPr>
      <w:r w:rsidRPr="0075638D">
        <w:rPr>
          <w:rFonts w:ascii="Arial Narrow" w:hAnsi="Arial Narrow" w:cs="Arial"/>
        </w:rPr>
        <w:t xml:space="preserve">Posljednji dan za </w:t>
      </w:r>
      <w:r w:rsidRPr="00783109">
        <w:rPr>
          <w:rFonts w:ascii="Arial Narrow" w:hAnsi="Arial Narrow" w:cs="Arial"/>
          <w:color w:val="000000" w:themeColor="text1"/>
        </w:rPr>
        <w:t xml:space="preserve">podnošenje prijava je  </w:t>
      </w:r>
      <w:r w:rsidR="0049375E" w:rsidRPr="0049375E">
        <w:rPr>
          <w:rFonts w:ascii="Arial Narrow" w:hAnsi="Arial Narrow" w:cs="Arial"/>
        </w:rPr>
        <w:t>05. studeni</w:t>
      </w:r>
      <w:r w:rsidRPr="0049375E">
        <w:rPr>
          <w:rFonts w:ascii="Arial Narrow" w:hAnsi="Arial Narrow" w:cs="Arial"/>
        </w:rPr>
        <w:t xml:space="preserve"> 2020</w:t>
      </w:r>
      <w:r w:rsidRPr="006F36CE">
        <w:rPr>
          <w:rFonts w:ascii="Arial Narrow" w:hAnsi="Arial Narrow" w:cs="Arial"/>
          <w:color w:val="FF0000"/>
        </w:rPr>
        <w:t xml:space="preserve">. </w:t>
      </w:r>
      <w:r w:rsidRPr="00783109">
        <w:rPr>
          <w:rFonts w:ascii="Arial Narrow" w:hAnsi="Arial Narrow" w:cs="Arial"/>
          <w:color w:val="000000" w:themeColor="text1"/>
        </w:rPr>
        <w:t>godine.</w:t>
      </w:r>
    </w:p>
    <w:p w:rsidR="00D57931" w:rsidRPr="00606443" w:rsidRDefault="00D57931" w:rsidP="00D5793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UPUTE I OBAVIJESTI KANDIDATIMA</w:t>
      </w:r>
    </w:p>
    <w:p w:rsidR="00D57931" w:rsidRDefault="00D57931" w:rsidP="00D57931">
      <w:pPr>
        <w:shd w:val="clear" w:color="auto" w:fill="FDFDFD"/>
        <w:spacing w:before="100" w:beforeAutospacing="1" w:after="100" w:afterAutospacing="1"/>
        <w:ind w:left="720" w:hanging="436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b/>
          <w:sz w:val="24"/>
          <w:szCs w:val="24"/>
          <w:lang w:eastAsia="hr-HR"/>
        </w:rPr>
        <w:t>1.</w:t>
      </w:r>
      <w:r w:rsidRPr="0075638D"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  <w:t xml:space="preserve"> Opis poslova radnog mjesta </w:t>
      </w:r>
    </w:p>
    <w:p w:rsidR="00D57931" w:rsidRPr="00D74314" w:rsidRDefault="00D57931" w:rsidP="003C5E9C">
      <w:pPr>
        <w:pStyle w:val="Odlomakpopisa"/>
        <w:numPr>
          <w:ilvl w:val="0"/>
          <w:numId w:val="2"/>
        </w:numPr>
        <w:shd w:val="clear" w:color="auto" w:fill="FDFDFD"/>
        <w:tabs>
          <w:tab w:val="left" w:pos="1134"/>
        </w:tabs>
        <w:spacing w:before="100" w:beforeAutospacing="1" w:after="100" w:afterAutospacing="1"/>
        <w:ind w:left="1418" w:hanging="284"/>
        <w:rPr>
          <w:rFonts w:ascii="Arial Narrow" w:hAnsi="Arial Narrow"/>
          <w:sz w:val="24"/>
          <w:szCs w:val="24"/>
        </w:rPr>
      </w:pPr>
      <w:r w:rsidRPr="00D57931">
        <w:rPr>
          <w:rFonts w:ascii="Arial Narrow" w:hAnsi="Arial Narrow"/>
          <w:sz w:val="24"/>
          <w:szCs w:val="24"/>
        </w:rPr>
        <w:t>Sudjeluje u obračunu plaća i naknada zaposlenima te izradi poreznih i drugih financijskih evidencija, sudjeluje u obračunu naknada vanjskim suradnicima</w:t>
      </w:r>
      <w:r w:rsidRPr="00D74314">
        <w:rPr>
          <w:rFonts w:ascii="Arial Narrow" w:hAnsi="Arial Narrow"/>
          <w:sz w:val="24"/>
          <w:szCs w:val="24"/>
        </w:rPr>
        <w:t>,</w:t>
      </w:r>
    </w:p>
    <w:p w:rsidR="00D57931" w:rsidRPr="00D74314" w:rsidRDefault="00D57931" w:rsidP="003C5E9C">
      <w:pPr>
        <w:pStyle w:val="Odlomakpopisa"/>
        <w:numPr>
          <w:ilvl w:val="0"/>
          <w:numId w:val="2"/>
        </w:numPr>
        <w:shd w:val="clear" w:color="auto" w:fill="FDFDFD"/>
        <w:spacing w:before="100" w:beforeAutospacing="1" w:after="100" w:afterAutospacing="1"/>
        <w:ind w:left="1418"/>
        <w:rPr>
          <w:rFonts w:ascii="Arial Narrow" w:hAnsi="Arial Narrow"/>
          <w:sz w:val="24"/>
          <w:szCs w:val="24"/>
        </w:rPr>
      </w:pPr>
      <w:r w:rsidRPr="00D57931">
        <w:rPr>
          <w:rFonts w:ascii="Arial Narrow" w:hAnsi="Arial Narrow"/>
          <w:sz w:val="24"/>
          <w:szCs w:val="24"/>
        </w:rPr>
        <w:t>Obavlja poslove izvještavanja Porezne</w:t>
      </w:r>
      <w:r>
        <w:rPr>
          <w:rFonts w:ascii="Arial Narrow" w:hAnsi="Arial Narrow"/>
          <w:sz w:val="24"/>
          <w:szCs w:val="24"/>
        </w:rPr>
        <w:t>,</w:t>
      </w:r>
    </w:p>
    <w:p w:rsidR="00F82E51" w:rsidRDefault="00D57931" w:rsidP="003C5E9C">
      <w:pPr>
        <w:pStyle w:val="Odlomakpopisa"/>
        <w:numPr>
          <w:ilvl w:val="0"/>
          <w:numId w:val="2"/>
        </w:numPr>
        <w:shd w:val="clear" w:color="auto" w:fill="FDFDFD"/>
        <w:spacing w:before="100" w:beforeAutospacing="1" w:after="100" w:afterAutospacing="1"/>
        <w:ind w:left="1418"/>
        <w:rPr>
          <w:rFonts w:ascii="Arial Narrow" w:hAnsi="Arial Narrow"/>
          <w:sz w:val="24"/>
          <w:szCs w:val="24"/>
        </w:rPr>
      </w:pPr>
      <w:r w:rsidRPr="00D57931">
        <w:rPr>
          <w:rFonts w:ascii="Arial Narrow" w:hAnsi="Arial Narrow"/>
          <w:sz w:val="24"/>
          <w:szCs w:val="24"/>
        </w:rPr>
        <w:t>Obavlja poslove platnog prometa za županiju i proračunske</w:t>
      </w:r>
      <w:r>
        <w:rPr>
          <w:rFonts w:ascii="Arial Narrow" w:hAnsi="Arial Narrow"/>
          <w:sz w:val="24"/>
          <w:szCs w:val="24"/>
        </w:rPr>
        <w:t xml:space="preserve"> korisnike kroz lokalnu riznicu,</w:t>
      </w:r>
    </w:p>
    <w:p w:rsidR="00D57931" w:rsidRPr="00F82E51" w:rsidRDefault="00F82E51" w:rsidP="003C5E9C">
      <w:pPr>
        <w:pStyle w:val="Odlomakpopisa"/>
        <w:numPr>
          <w:ilvl w:val="0"/>
          <w:numId w:val="2"/>
        </w:numPr>
        <w:shd w:val="clear" w:color="auto" w:fill="FDFDFD"/>
        <w:spacing w:before="100" w:beforeAutospacing="1" w:after="100" w:afterAutospacing="1"/>
        <w:ind w:left="1418"/>
        <w:rPr>
          <w:rFonts w:ascii="Arial Narrow" w:hAnsi="Arial Narrow"/>
          <w:sz w:val="24"/>
          <w:szCs w:val="24"/>
        </w:rPr>
      </w:pPr>
      <w:r w:rsidRPr="00F82E51">
        <w:rPr>
          <w:rFonts w:ascii="Arial Narrow" w:hAnsi="Arial Narrow"/>
          <w:sz w:val="24"/>
          <w:szCs w:val="24"/>
        </w:rPr>
        <w:t xml:space="preserve">Vodi poslove evidentiranja ugovora, evidentiranja </w:t>
      </w:r>
      <w:proofErr w:type="spellStart"/>
      <w:r w:rsidRPr="00F82E51">
        <w:rPr>
          <w:rFonts w:ascii="Arial Narrow" w:hAnsi="Arial Narrow"/>
          <w:sz w:val="24"/>
          <w:szCs w:val="24"/>
        </w:rPr>
        <w:t>izvanbilančnih</w:t>
      </w:r>
      <w:proofErr w:type="spellEnd"/>
      <w:r w:rsidRPr="00F82E51">
        <w:rPr>
          <w:rFonts w:ascii="Arial Narrow" w:hAnsi="Arial Narrow"/>
          <w:sz w:val="24"/>
          <w:szCs w:val="24"/>
        </w:rPr>
        <w:t xml:space="preserve"> evidencija, evidentiranja vrijednosnih papira</w:t>
      </w:r>
    </w:p>
    <w:p w:rsidR="00D57931" w:rsidRPr="007C0DDF" w:rsidRDefault="00D57931" w:rsidP="003C5E9C">
      <w:pPr>
        <w:pStyle w:val="Odlomakpopisa"/>
        <w:numPr>
          <w:ilvl w:val="0"/>
          <w:numId w:val="2"/>
        </w:numPr>
        <w:shd w:val="clear" w:color="auto" w:fill="FDFDFD"/>
        <w:spacing w:before="100" w:beforeAutospacing="1" w:after="100" w:afterAutospacing="1"/>
        <w:ind w:left="1418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441B85">
        <w:rPr>
          <w:rFonts w:ascii="Arial Narrow" w:hAnsi="Arial Narrow"/>
          <w:sz w:val="24"/>
          <w:szCs w:val="24"/>
        </w:rPr>
        <w:t>Obavlja druge stručne poslove po nalogu pročelnika</w:t>
      </w:r>
      <w:r>
        <w:rPr>
          <w:rFonts w:ascii="Arial Narrow" w:hAnsi="Arial Narrow"/>
          <w:sz w:val="24"/>
          <w:szCs w:val="24"/>
        </w:rPr>
        <w:t>.</w:t>
      </w:r>
    </w:p>
    <w:p w:rsidR="00D57931" w:rsidRPr="0075638D" w:rsidRDefault="00D57931" w:rsidP="00D57931">
      <w:pPr>
        <w:shd w:val="clear" w:color="auto" w:fill="FDFDFD"/>
        <w:spacing w:before="100" w:beforeAutospacing="1" w:after="100" w:afterAutospacing="1"/>
        <w:ind w:left="360"/>
        <w:jc w:val="both"/>
        <w:rPr>
          <w:rFonts w:ascii="Arial Narrow" w:eastAsia="Times New Roman" w:hAnsi="Arial Narrow" w:cs="Arial"/>
          <w:color w:val="FF000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b/>
          <w:color w:val="231F20"/>
          <w:sz w:val="24"/>
          <w:szCs w:val="24"/>
          <w:lang w:eastAsia="hr-HR"/>
        </w:rPr>
        <w:t>2.</w:t>
      </w: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 xml:space="preserve"> Podaci o plaći</w:t>
      </w:r>
    </w:p>
    <w:p w:rsidR="00D57931" w:rsidRDefault="00D57931" w:rsidP="00D57931">
      <w:pPr>
        <w:shd w:val="clear" w:color="auto" w:fill="FDFDFD"/>
        <w:spacing w:after="0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Sukladno članku 8. Zakona o plaćama u lokalnoj i područnoj (regionalnoj) samoupravi («Narodne novine» 28/10) plaću službenika, odnosno namještenika u upravnim odjelima i službama jedinica lokalne i područne (regionalne) samouprave čini umnožak koeficijenata složenosti poslova radnog mjesta na koje je službenik, odnosno namještenik raspoređen i osnovice za obračun plaće, uvećan za 0,5 % za svaku navršenu godinu radnog staža.</w:t>
      </w:r>
    </w:p>
    <w:p w:rsidR="00D57931" w:rsidRDefault="00D57931" w:rsidP="0049375E">
      <w:pPr>
        <w:shd w:val="clear" w:color="auto" w:fill="FDFDFD"/>
        <w:spacing w:after="0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O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snovica za obračun plaće određena je Odlukom o visini osnovice za obračun plaća djelatnika upravnih tijela Virovitičko-podravske županije KLASA: 120-01/18-01/03, URBROJ: 2189/1-06/1-18-1 od 18. prosinca 2018.</w:t>
      </w: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godine.</w:t>
      </w:r>
    </w:p>
    <w:p w:rsidR="0049375E" w:rsidRPr="0075638D" w:rsidRDefault="0049375E" w:rsidP="0049375E">
      <w:pPr>
        <w:shd w:val="clear" w:color="auto" w:fill="FDFDFD"/>
        <w:spacing w:after="0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</w:p>
    <w:p w:rsidR="00D57931" w:rsidRDefault="00D57931" w:rsidP="00D57931">
      <w:pPr>
        <w:shd w:val="clear" w:color="auto" w:fill="FDFDFD"/>
        <w:spacing w:after="0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Prema Odluci o izmjeni odluke o koeficijentima za obračun plaće službenika i namještenika u upravnim tijelima Virovitičko-podravske županije («Službeni glasnik» Virovitičko-podravske županije broj 7/19) koeficijent  složenosti poslova za radno mjesto Viši </w:t>
      </w:r>
      <w:r w:rsidR="0049375E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referent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- </w:t>
      </w:r>
      <w:r w:rsidR="0049375E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2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. iznosi 2,</w:t>
      </w:r>
      <w:r w:rsidR="0049375E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20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.</w:t>
      </w:r>
    </w:p>
    <w:p w:rsidR="00D57931" w:rsidRDefault="00D57931" w:rsidP="00D57931">
      <w:pPr>
        <w:shd w:val="clear" w:color="auto" w:fill="FDFDFD"/>
        <w:spacing w:after="0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E57109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lastRenderedPageBreak/>
        <w:t xml:space="preserve">Međutim, </w:t>
      </w: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sukladno članku 12. Zakona o plaćama u lokalnoj i područnoj (regionalnoj) samoupravi 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(«Narodne novine» 28/10) </w:t>
      </w:r>
      <w:r w:rsidRPr="00E57109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za vrijeme trajanja vježbeničkog staža vježbenik/</w:t>
      </w:r>
      <w:proofErr w:type="spellStart"/>
      <w:r w:rsidRPr="00E57109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ica</w:t>
      </w:r>
      <w:proofErr w:type="spellEnd"/>
      <w:r w:rsidRPr="00E57109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ima pravo na 85% plaće poslova radnog mjesta najniže složenosti njegove stručne spreme.</w:t>
      </w:r>
    </w:p>
    <w:p w:rsidR="00D57931" w:rsidRDefault="00D57931" w:rsidP="00D5793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</w:p>
    <w:p w:rsidR="00D57931" w:rsidRPr="0075638D" w:rsidRDefault="00D57931" w:rsidP="00D5793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    </w:t>
      </w: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3.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</w:t>
      </w: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Testiranje kandidata</w:t>
      </w:r>
    </w:p>
    <w:p w:rsidR="00D57931" w:rsidRPr="0075638D" w:rsidRDefault="00D57931" w:rsidP="00D5793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Za kandidate koji ispunjavaju formalne uvjete natječaja, provest će se  prethodna provjera znanja i sposobnosti putem pisanog testiranja i intervjua.</w:t>
      </w:r>
    </w:p>
    <w:p w:rsidR="00D57931" w:rsidRPr="0075638D" w:rsidRDefault="00D57931" w:rsidP="00D5793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Na web stranici Virovitičko-podravske županije (</w:t>
      </w:r>
      <w:hyperlink r:id="rId6" w:history="1">
        <w:r w:rsidRPr="0075638D">
          <w:rPr>
            <w:rFonts w:ascii="Arial Narrow" w:eastAsia="Times New Roman" w:hAnsi="Arial Narrow" w:cs="Arial"/>
            <w:color w:val="A94D10"/>
            <w:sz w:val="24"/>
            <w:szCs w:val="24"/>
            <w:u w:val="single"/>
            <w:lang w:eastAsia="hr-HR"/>
          </w:rPr>
          <w:t>www.vpz.hr</w:t>
        </w:r>
      </w:hyperlink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) te na oglasnoj ploči Virovitičko-podravske županije objavit će se vrijeme održavanja prethodne provjere znanja i sposobnosti kandidata najmanje 5 dana prije održavanja provjere.</w:t>
      </w:r>
    </w:p>
    <w:p w:rsidR="00D57931" w:rsidRPr="0075638D" w:rsidRDefault="00D57931" w:rsidP="00D5793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Za kandidata koji ne pristupi prethodnoj provjeri znanja smatra se da je povukao prijavu na natječaj.</w:t>
      </w:r>
    </w:p>
    <w:p w:rsidR="00D57931" w:rsidRPr="0075638D" w:rsidRDefault="00D57931" w:rsidP="00D5793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Za svaki dio provjere znanja (pisano testiranje i intervju) kandidatima se dodjeljuje određeni broj bodova od 1-10.</w:t>
      </w:r>
    </w:p>
    <w:p w:rsidR="00D57931" w:rsidRPr="0075638D" w:rsidRDefault="00D57931" w:rsidP="00D5793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Pitanja kojima se testira provjera znanja, sposobnosti i vještina bitnih za obavljanje poslova radnog mjesta za koje je raspisan natječaj temelje se na sljedećim propisima:</w:t>
      </w:r>
    </w:p>
    <w:p w:rsidR="00D57931" w:rsidRPr="0075638D" w:rsidRDefault="00D57931" w:rsidP="00D57931">
      <w:pPr>
        <w:numPr>
          <w:ilvl w:val="0"/>
          <w:numId w:val="1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sz w:val="24"/>
          <w:szCs w:val="24"/>
          <w:lang w:eastAsia="hr-HR"/>
        </w:rPr>
        <w:t>Zakon o lokalnoj i područnoj (regionalnoj) samoupravi („Narodne novine“ broj 33/01, 60/01, 129/05, 109/07, 125/08, 36/09, 150/11, 144/12, 19/13, 137/15, 123/17 i 98/19)</w:t>
      </w:r>
    </w:p>
    <w:p w:rsidR="00D57931" w:rsidRDefault="000D3B5B" w:rsidP="00D57931">
      <w:pPr>
        <w:numPr>
          <w:ilvl w:val="0"/>
          <w:numId w:val="1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sz w:val="24"/>
          <w:szCs w:val="24"/>
          <w:lang w:eastAsia="hr-HR"/>
        </w:rPr>
        <w:t>Zakon o proračunu („</w:t>
      </w:r>
      <w:r w:rsidR="008E1E98">
        <w:rPr>
          <w:rFonts w:ascii="Arial Narrow" w:eastAsia="Times New Roman" w:hAnsi="Arial Narrow" w:cs="Arial"/>
          <w:sz w:val="24"/>
          <w:szCs w:val="24"/>
          <w:lang w:eastAsia="hr-HR"/>
        </w:rPr>
        <w:t>Narodne novine“ broj 87/08,</w:t>
      </w:r>
      <w:r w:rsidR="002B6FB9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 w:rsidR="008E1E98">
        <w:rPr>
          <w:rFonts w:ascii="Arial Narrow" w:eastAsia="Times New Roman" w:hAnsi="Arial Narrow" w:cs="Arial"/>
          <w:sz w:val="24"/>
          <w:szCs w:val="24"/>
          <w:lang w:eastAsia="hr-HR"/>
        </w:rPr>
        <w:t>136/12,</w:t>
      </w:r>
      <w:r w:rsidR="002B6FB9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 w:rsidR="008E1E98">
        <w:rPr>
          <w:rFonts w:ascii="Arial Narrow" w:eastAsia="Times New Roman" w:hAnsi="Arial Narrow" w:cs="Arial"/>
          <w:sz w:val="24"/>
          <w:szCs w:val="24"/>
          <w:lang w:eastAsia="hr-HR"/>
        </w:rPr>
        <w:t>15/15)</w:t>
      </w:r>
    </w:p>
    <w:p w:rsidR="008E1E98" w:rsidRDefault="008E1E98" w:rsidP="00D57931">
      <w:pPr>
        <w:numPr>
          <w:ilvl w:val="0"/>
          <w:numId w:val="1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sz w:val="24"/>
          <w:szCs w:val="24"/>
          <w:lang w:eastAsia="hr-HR"/>
        </w:rPr>
        <w:t>Pravilnik o proračunskom računovodstvu i računskom planu („Narodne novine“ broj 124/14, 115/15, 87/16, 3/18, 126/19 i 108/20)</w:t>
      </w:r>
    </w:p>
    <w:p w:rsidR="00D57931" w:rsidRPr="0075638D" w:rsidRDefault="00D57931" w:rsidP="00D5793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Po dolasku, prije početka provjere znanja, kandidati su dužni predočiti odgovarajuću identifikacijsku ispravu radi utvrđivanja identiteta.</w:t>
      </w:r>
    </w:p>
    <w:p w:rsidR="00D57931" w:rsidRPr="0075638D" w:rsidRDefault="00D57931" w:rsidP="00D5793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Kandidati koji ne mogu dokazati identitet neće moći pristupiti testiranju.</w:t>
      </w:r>
    </w:p>
    <w:p w:rsidR="00D57931" w:rsidRPr="0075638D" w:rsidRDefault="00D57931" w:rsidP="00D5793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Po završetku pisanog testiranja, kandidati koji su ostvarili najmanje 50 % ukupnog broja bodova pristupit će razgovoru s Povjerenstvom za provedbu natječaja (intervju).</w:t>
      </w:r>
    </w:p>
    <w:p w:rsidR="00D57931" w:rsidRPr="0075638D" w:rsidRDefault="00D57931" w:rsidP="00D5793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Povjerenstvo kroz razgovor s kandidatom utvrđuje interese, profesionalne ciljeve i motivaciju kandidata za rad.</w:t>
      </w:r>
    </w:p>
    <w:p w:rsidR="00D57931" w:rsidRPr="0075638D" w:rsidRDefault="00D57931" w:rsidP="00D5793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Nakon završetka provjere znanja (pisanog testiranja i intervjua) Povjerenstvo za provedbu natječaja utvrđuje rang listu kandidata prema ukupnom broju ostvarenih bodova.</w:t>
      </w:r>
    </w:p>
    <w:p w:rsidR="00D57931" w:rsidRPr="0075638D" w:rsidRDefault="00D57931" w:rsidP="00D5793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Molimo podnositelje da u prijavi navedu broj fiksnog ili mobilnog telefona na koji, u slučaju potrebe, mogu biti </w:t>
      </w:r>
      <w:proofErr w:type="spellStart"/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kontaktirani</w:t>
      </w:r>
      <w:proofErr w:type="spellEnd"/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tijekom natječajnog postupka.</w:t>
      </w:r>
    </w:p>
    <w:p w:rsidR="00D57931" w:rsidRPr="0075638D" w:rsidRDefault="00D57931" w:rsidP="00D5793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lastRenderedPageBreak/>
        <w:t>Također, molimo podnositelje da prijavi prilože sve isprave naznačene u natječaju i to u obliku navedenom u natječaju.</w:t>
      </w:r>
    </w:p>
    <w:p w:rsidR="00D57931" w:rsidRPr="0075638D" w:rsidRDefault="00D57931" w:rsidP="00D5793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Ukoliko utvrdite da je potrebno dopuniti prijavu koju ste već podnijeli, to je moguće učiniti zaključno do dana isteka natječajnog roka.</w:t>
      </w:r>
    </w:p>
    <w:p w:rsidR="00D57931" w:rsidRPr="0075638D" w:rsidRDefault="00D57931" w:rsidP="00D5793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Kandidat može tijekom natječajnog postupka pisanim putem povući prijavu.</w:t>
      </w:r>
    </w:p>
    <w:p w:rsidR="00D57931" w:rsidRPr="00624974" w:rsidRDefault="00D57931" w:rsidP="00D5793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Eventualne dodatne upite možete poslati putem </w:t>
      </w:r>
      <w:bookmarkStart w:id="0" w:name="_GoBack"/>
      <w:bookmarkEnd w:id="0"/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elektroničke pošte na adresu: </w:t>
      </w:r>
      <w:r w:rsidRPr="00624974">
        <w:rPr>
          <w:rFonts w:ascii="Arial Narrow" w:eastAsia="Times New Roman" w:hAnsi="Arial Narrow" w:cs="Arial"/>
          <w:sz w:val="24"/>
          <w:szCs w:val="24"/>
          <w:lang w:eastAsia="hr-HR"/>
        </w:rPr>
        <w:t>ankica.garaj@vpz.hr</w:t>
      </w:r>
    </w:p>
    <w:p w:rsidR="00D57931" w:rsidRPr="00B47D29" w:rsidRDefault="00D57931" w:rsidP="00D57931">
      <w:pPr>
        <w:shd w:val="clear" w:color="auto" w:fill="FDFDFD"/>
        <w:spacing w:after="0"/>
        <w:rPr>
          <w:rFonts w:ascii="Arial" w:eastAsia="Times New Roman" w:hAnsi="Arial" w:cs="Arial"/>
          <w:color w:val="231F20"/>
          <w:sz w:val="23"/>
          <w:szCs w:val="23"/>
          <w:lang w:eastAsia="hr-HR"/>
        </w:rPr>
      </w:pPr>
      <w:r w:rsidRPr="00B47D29">
        <w:rPr>
          <w:rFonts w:ascii="Arial" w:eastAsia="Times New Roman" w:hAnsi="Arial" w:cs="Arial"/>
          <w:noProof/>
          <w:color w:val="A94D10"/>
          <w:sz w:val="23"/>
          <w:szCs w:val="23"/>
          <w:lang w:eastAsia="hr-HR"/>
        </w:rPr>
        <w:drawing>
          <wp:inline distT="0" distB="0" distL="0" distR="0" wp14:anchorId="6A853747" wp14:editId="13A67DCE">
            <wp:extent cx="9525" cy="9525"/>
            <wp:effectExtent l="0" t="0" r="0" b="0"/>
            <wp:docPr id="1" name="Slika 1" descr="Share Butt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re Butto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931" w:rsidRPr="00B47D29" w:rsidRDefault="00D57931" w:rsidP="00D57931">
      <w:pPr>
        <w:shd w:val="clear" w:color="auto" w:fill="FDFDFD"/>
        <w:spacing w:after="0"/>
        <w:rPr>
          <w:rFonts w:ascii="Arial" w:eastAsia="Times New Roman" w:hAnsi="Arial" w:cs="Arial"/>
          <w:color w:val="231F20"/>
          <w:sz w:val="23"/>
          <w:szCs w:val="23"/>
          <w:lang w:eastAsia="hr-HR"/>
        </w:rPr>
      </w:pPr>
    </w:p>
    <w:p w:rsidR="00D57931" w:rsidRDefault="00D57931" w:rsidP="00D57931"/>
    <w:p w:rsidR="00D57931" w:rsidRDefault="00D57931" w:rsidP="00D57931"/>
    <w:p w:rsidR="00E95FDC" w:rsidRDefault="00E95FDC"/>
    <w:sectPr w:rsidR="00E95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E1173"/>
    <w:multiLevelType w:val="multilevel"/>
    <w:tmpl w:val="5C70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5E243A"/>
    <w:multiLevelType w:val="hybridMultilevel"/>
    <w:tmpl w:val="A7561774"/>
    <w:lvl w:ilvl="0" w:tplc="041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31"/>
    <w:rsid w:val="000D3B5B"/>
    <w:rsid w:val="002B6FB9"/>
    <w:rsid w:val="003C5E9C"/>
    <w:rsid w:val="0049375E"/>
    <w:rsid w:val="005C1463"/>
    <w:rsid w:val="00624974"/>
    <w:rsid w:val="008E1E98"/>
    <w:rsid w:val="009A543F"/>
    <w:rsid w:val="009D4183"/>
    <w:rsid w:val="00D57931"/>
    <w:rsid w:val="00E95FDC"/>
    <w:rsid w:val="00F8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9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57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5793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5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7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9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57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5793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5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7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hupso.com/sha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pz.h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Ferenčević Sl</dc:creator>
  <cp:lastModifiedBy>Tihana Ferenčević Sl</cp:lastModifiedBy>
  <cp:revision>5</cp:revision>
  <cp:lastPrinted>2020-10-28T10:21:00Z</cp:lastPrinted>
  <dcterms:created xsi:type="dcterms:W3CDTF">2020-10-28T08:00:00Z</dcterms:created>
  <dcterms:modified xsi:type="dcterms:W3CDTF">2020-10-28T11:05:00Z</dcterms:modified>
</cp:coreProperties>
</file>